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41C" w:rsidRDefault="0008341C" w:rsidP="0008341C">
      <w:pPr>
        <w:jc w:val="center"/>
        <w:rPr>
          <w:rFonts w:ascii="Times New Roman" w:hAnsi="Times New Roman" w:cs="Times New Roman"/>
          <w:b/>
          <w:sz w:val="24"/>
        </w:rPr>
      </w:pPr>
    </w:p>
    <w:p w:rsidR="0008341C" w:rsidRDefault="0008341C" w:rsidP="0008341C">
      <w:pPr>
        <w:jc w:val="center"/>
        <w:rPr>
          <w:rFonts w:ascii="Times New Roman" w:hAnsi="Times New Roman" w:cs="Times New Roman"/>
          <w:b/>
          <w:sz w:val="24"/>
        </w:rPr>
      </w:pPr>
    </w:p>
    <w:p w:rsidR="0008341C" w:rsidRDefault="0008341C" w:rsidP="0008341C">
      <w:pPr>
        <w:jc w:val="center"/>
        <w:rPr>
          <w:rFonts w:ascii="Times New Roman" w:hAnsi="Times New Roman" w:cs="Times New Roman"/>
          <w:b/>
          <w:sz w:val="24"/>
        </w:rPr>
      </w:pPr>
    </w:p>
    <w:p w:rsidR="0008341C" w:rsidRDefault="0008341C" w:rsidP="0008341C">
      <w:pPr>
        <w:jc w:val="center"/>
        <w:rPr>
          <w:rFonts w:ascii="Times New Roman" w:hAnsi="Times New Roman" w:cs="Times New Roman"/>
          <w:b/>
          <w:sz w:val="24"/>
        </w:rPr>
      </w:pPr>
    </w:p>
    <w:p w:rsidR="0008341C" w:rsidRDefault="0008341C" w:rsidP="0008341C">
      <w:pPr>
        <w:jc w:val="center"/>
        <w:rPr>
          <w:rFonts w:ascii="Times New Roman" w:hAnsi="Times New Roman" w:cs="Times New Roman"/>
          <w:b/>
          <w:sz w:val="24"/>
        </w:rPr>
      </w:pPr>
    </w:p>
    <w:p w:rsidR="0008341C" w:rsidRDefault="0008341C" w:rsidP="0008341C">
      <w:pPr>
        <w:jc w:val="center"/>
        <w:rPr>
          <w:rFonts w:ascii="Times New Roman" w:hAnsi="Times New Roman" w:cs="Times New Roman"/>
          <w:b/>
          <w:sz w:val="24"/>
        </w:rPr>
      </w:pPr>
      <w:r w:rsidRPr="00734025">
        <w:rPr>
          <w:rFonts w:ascii="Times New Roman" w:hAnsi="Times New Roman" w:cs="Times New Roman"/>
          <w:b/>
          <w:sz w:val="24"/>
        </w:rPr>
        <w:t>MENTAL ILLNESS AND LEGAL INSANITY</w:t>
      </w:r>
      <w:r w:rsidRPr="0008341C">
        <w:rPr>
          <w:rFonts w:ascii="Times New Roman" w:hAnsi="Times New Roman" w:cs="Times New Roman"/>
          <w:b/>
          <w:sz w:val="24"/>
        </w:rPr>
        <w:t xml:space="preserve"> </w:t>
      </w:r>
    </w:p>
    <w:p w:rsidR="0008341C" w:rsidRPr="0008341C" w:rsidRDefault="0008341C" w:rsidP="0008341C">
      <w:pPr>
        <w:jc w:val="center"/>
        <w:rPr>
          <w:rFonts w:ascii="Times New Roman" w:hAnsi="Times New Roman" w:cs="Times New Roman"/>
          <w:b/>
          <w:sz w:val="24"/>
        </w:rPr>
      </w:pPr>
      <w:r w:rsidRPr="0008341C">
        <w:rPr>
          <w:rFonts w:ascii="Times New Roman" w:hAnsi="Times New Roman" w:cs="Times New Roman"/>
          <w:b/>
          <w:sz w:val="24"/>
        </w:rPr>
        <w:t>By (Name)</w:t>
      </w:r>
    </w:p>
    <w:p w:rsidR="0008341C" w:rsidRPr="0008341C" w:rsidRDefault="0008341C" w:rsidP="0008341C">
      <w:pPr>
        <w:jc w:val="center"/>
        <w:rPr>
          <w:rFonts w:ascii="Times New Roman" w:hAnsi="Times New Roman" w:cs="Times New Roman"/>
          <w:b/>
          <w:sz w:val="24"/>
        </w:rPr>
      </w:pPr>
      <w:bookmarkStart w:id="0" w:name="_GoBack"/>
      <w:bookmarkEnd w:id="0"/>
      <w:r w:rsidRPr="0008341C">
        <w:rPr>
          <w:rFonts w:ascii="Times New Roman" w:hAnsi="Times New Roman" w:cs="Times New Roman"/>
          <w:b/>
          <w:sz w:val="24"/>
        </w:rPr>
        <w:t>Name of the Class</w:t>
      </w:r>
    </w:p>
    <w:p w:rsidR="0008341C" w:rsidRPr="0008341C" w:rsidRDefault="0008341C" w:rsidP="0008341C">
      <w:pPr>
        <w:jc w:val="center"/>
        <w:rPr>
          <w:rFonts w:ascii="Times New Roman" w:hAnsi="Times New Roman" w:cs="Times New Roman"/>
          <w:b/>
          <w:sz w:val="24"/>
        </w:rPr>
      </w:pPr>
      <w:r w:rsidRPr="0008341C">
        <w:rPr>
          <w:rFonts w:ascii="Times New Roman" w:hAnsi="Times New Roman" w:cs="Times New Roman"/>
          <w:b/>
          <w:sz w:val="24"/>
        </w:rPr>
        <w:t>Professor</w:t>
      </w:r>
    </w:p>
    <w:p w:rsidR="0008341C" w:rsidRPr="0008341C" w:rsidRDefault="0008341C" w:rsidP="0008341C">
      <w:pPr>
        <w:jc w:val="center"/>
        <w:rPr>
          <w:rFonts w:ascii="Times New Roman" w:hAnsi="Times New Roman" w:cs="Times New Roman"/>
          <w:b/>
          <w:sz w:val="24"/>
        </w:rPr>
      </w:pPr>
      <w:r w:rsidRPr="0008341C">
        <w:rPr>
          <w:rFonts w:ascii="Times New Roman" w:hAnsi="Times New Roman" w:cs="Times New Roman"/>
          <w:b/>
          <w:sz w:val="24"/>
        </w:rPr>
        <w:t>Name of the School</w:t>
      </w:r>
    </w:p>
    <w:p w:rsidR="00034AAC" w:rsidRDefault="0008341C" w:rsidP="0008341C">
      <w:pPr>
        <w:jc w:val="center"/>
        <w:rPr>
          <w:rFonts w:ascii="Times New Roman" w:hAnsi="Times New Roman" w:cs="Times New Roman"/>
          <w:b/>
          <w:sz w:val="24"/>
        </w:rPr>
      </w:pPr>
      <w:r w:rsidRPr="0008341C">
        <w:rPr>
          <w:rFonts w:ascii="Times New Roman" w:hAnsi="Times New Roman" w:cs="Times New Roman"/>
          <w:b/>
          <w:sz w:val="24"/>
        </w:rPr>
        <w:t>Date</w:t>
      </w:r>
    </w:p>
    <w:p w:rsidR="0008341C" w:rsidRDefault="0008341C" w:rsidP="0008341C">
      <w:pPr>
        <w:jc w:val="center"/>
        <w:rPr>
          <w:rFonts w:ascii="Times New Roman" w:hAnsi="Times New Roman" w:cs="Times New Roman"/>
          <w:b/>
          <w:sz w:val="24"/>
        </w:rPr>
      </w:pPr>
    </w:p>
    <w:p w:rsidR="0008341C" w:rsidRDefault="0008341C" w:rsidP="0008341C">
      <w:pPr>
        <w:jc w:val="center"/>
        <w:rPr>
          <w:rFonts w:ascii="Times New Roman" w:hAnsi="Times New Roman" w:cs="Times New Roman"/>
          <w:b/>
          <w:sz w:val="24"/>
        </w:rPr>
      </w:pPr>
    </w:p>
    <w:p w:rsidR="0008341C" w:rsidRDefault="0008341C" w:rsidP="0008341C">
      <w:pPr>
        <w:jc w:val="center"/>
        <w:rPr>
          <w:rFonts w:ascii="Times New Roman" w:hAnsi="Times New Roman" w:cs="Times New Roman"/>
          <w:b/>
          <w:sz w:val="24"/>
        </w:rPr>
      </w:pPr>
    </w:p>
    <w:p w:rsidR="0008341C" w:rsidRDefault="0008341C" w:rsidP="0008341C">
      <w:pPr>
        <w:jc w:val="center"/>
        <w:rPr>
          <w:rFonts w:ascii="Times New Roman" w:hAnsi="Times New Roman" w:cs="Times New Roman"/>
          <w:b/>
          <w:sz w:val="24"/>
        </w:rPr>
      </w:pPr>
    </w:p>
    <w:p w:rsidR="0008341C" w:rsidRDefault="0008341C" w:rsidP="0008341C">
      <w:pPr>
        <w:jc w:val="center"/>
        <w:rPr>
          <w:rFonts w:ascii="Times New Roman" w:hAnsi="Times New Roman" w:cs="Times New Roman"/>
          <w:b/>
          <w:sz w:val="24"/>
        </w:rPr>
      </w:pPr>
    </w:p>
    <w:p w:rsidR="0008341C" w:rsidRPr="00734025" w:rsidRDefault="0008341C" w:rsidP="0008341C">
      <w:pPr>
        <w:jc w:val="center"/>
        <w:rPr>
          <w:rFonts w:ascii="Times New Roman" w:hAnsi="Times New Roman" w:cs="Times New Roman"/>
          <w:b/>
          <w:sz w:val="24"/>
        </w:rPr>
      </w:pPr>
    </w:p>
    <w:p w:rsidR="00034AAC" w:rsidRPr="00734025" w:rsidRDefault="001A6C02" w:rsidP="00734025">
      <w:pPr>
        <w:rPr>
          <w:rFonts w:ascii="Times New Roman" w:hAnsi="Times New Roman" w:cs="Times New Roman"/>
          <w:b/>
          <w:sz w:val="24"/>
        </w:rPr>
      </w:pPr>
      <w:r w:rsidRPr="00734025">
        <w:rPr>
          <w:rFonts w:ascii="Times New Roman" w:hAnsi="Times New Roman" w:cs="Times New Roman"/>
          <w:b/>
          <w:sz w:val="24"/>
        </w:rPr>
        <w:lastRenderedPageBreak/>
        <w:t xml:space="preserve">Differentiate between mental illness and legal insanity. Explain three of the tests or rules that are used to determine legal insanity. Distinguish between being found not guilty because of insanity (NGRI) and being found guilty but mentally ill </w:t>
      </w:r>
      <w:r w:rsidRPr="00734025">
        <w:rPr>
          <w:rFonts w:ascii="Times New Roman" w:hAnsi="Times New Roman" w:cs="Times New Roman"/>
          <w:b/>
          <w:sz w:val="24"/>
        </w:rPr>
        <w:t>(GBMI).</w:t>
      </w:r>
    </w:p>
    <w:p w:rsidR="00C11A19" w:rsidRPr="00734025" w:rsidRDefault="001A6C02" w:rsidP="00734025">
      <w:pPr>
        <w:jc w:val="center"/>
        <w:rPr>
          <w:rFonts w:ascii="Times New Roman" w:hAnsi="Times New Roman" w:cs="Times New Roman"/>
          <w:b/>
          <w:sz w:val="24"/>
        </w:rPr>
      </w:pPr>
      <w:r w:rsidRPr="00734025">
        <w:rPr>
          <w:rFonts w:ascii="Times New Roman" w:hAnsi="Times New Roman" w:cs="Times New Roman"/>
          <w:b/>
          <w:sz w:val="24"/>
        </w:rPr>
        <w:t>Solution</w:t>
      </w:r>
    </w:p>
    <w:p w:rsidR="00034AAC" w:rsidRPr="00734025" w:rsidRDefault="001A6C02" w:rsidP="00734025">
      <w:pPr>
        <w:rPr>
          <w:rFonts w:ascii="Times New Roman" w:hAnsi="Times New Roman" w:cs="Times New Roman"/>
          <w:sz w:val="24"/>
        </w:rPr>
      </w:pPr>
      <w:r w:rsidRPr="00734025">
        <w:rPr>
          <w:rFonts w:ascii="Times New Roman" w:hAnsi="Times New Roman" w:cs="Times New Roman"/>
          <w:sz w:val="24"/>
        </w:rPr>
        <w:t>Mental illness deals with the person's previous and present conduct and behavior. In contrast, legal insanity deals with the wrong-doer must be under unsoundness of mind at the time of the incidence, and he does not know its nature and eff</w:t>
      </w:r>
      <w:r w:rsidRPr="00734025">
        <w:rPr>
          <w:rFonts w:ascii="Times New Roman" w:hAnsi="Times New Roman" w:cs="Times New Roman"/>
          <w:sz w:val="24"/>
        </w:rPr>
        <w:t xml:space="preserve">ects. Having </w:t>
      </w:r>
      <w:r w:rsidR="00CD3610" w:rsidRPr="00734025">
        <w:rPr>
          <w:rFonts w:ascii="Times New Roman" w:hAnsi="Times New Roman" w:cs="Times New Roman"/>
          <w:sz w:val="24"/>
        </w:rPr>
        <w:t xml:space="preserve">Mental Illness </w:t>
      </w:r>
      <w:r w:rsidRPr="00734025">
        <w:rPr>
          <w:rFonts w:ascii="Times New Roman" w:hAnsi="Times New Roman" w:cs="Times New Roman"/>
          <w:sz w:val="24"/>
        </w:rPr>
        <w:t xml:space="preserve">means that the accused's consciousness of the bearing of his act on those affected by it, but legal insanity means the accused's consciousness about him. Insanity describes severe conditions involving psychotic-like breaks with </w:t>
      </w:r>
      <w:r w:rsidRPr="00734025">
        <w:rPr>
          <w:rFonts w:ascii="Times New Roman" w:hAnsi="Times New Roman" w:cs="Times New Roman"/>
          <w:sz w:val="24"/>
        </w:rPr>
        <w:t>reality, while Mental Illness can include both severe and milder forms of mental problems</w:t>
      </w:r>
      <w:r w:rsidR="00734025" w:rsidRPr="00734025">
        <w:rPr>
          <w:rFonts w:ascii="Times New Roman" w:hAnsi="Times New Roman" w:cs="Times New Roman"/>
          <w:sz w:val="24"/>
        </w:rPr>
        <w:t xml:space="preserve"> (Meynen, 2016)</w:t>
      </w:r>
      <w:r w:rsidRPr="00734025">
        <w:rPr>
          <w:rFonts w:ascii="Times New Roman" w:hAnsi="Times New Roman" w:cs="Times New Roman"/>
          <w:sz w:val="24"/>
        </w:rPr>
        <w:t>.</w:t>
      </w:r>
    </w:p>
    <w:p w:rsidR="00034AAC" w:rsidRPr="00734025" w:rsidRDefault="001A6C02" w:rsidP="00734025">
      <w:pPr>
        <w:rPr>
          <w:rFonts w:ascii="Times New Roman" w:hAnsi="Times New Roman" w:cs="Times New Roman"/>
          <w:sz w:val="24"/>
        </w:rPr>
      </w:pPr>
      <w:r w:rsidRPr="00734025">
        <w:rPr>
          <w:rFonts w:ascii="Times New Roman" w:hAnsi="Times New Roman" w:cs="Times New Roman"/>
          <w:sz w:val="24"/>
        </w:rPr>
        <w:t>M'Naghten Insanity Defense- is cognitive and focuses on the defendant's awareness rather than the ability to control conduct</w:t>
      </w:r>
      <w:r w:rsidR="00CD3610" w:rsidRPr="00734025">
        <w:rPr>
          <w:rFonts w:ascii="Times New Roman" w:hAnsi="Times New Roman" w:cs="Times New Roman"/>
          <w:sz w:val="24"/>
        </w:rPr>
        <w:t xml:space="preserve">. The defense requires two elements. First, the defendant must be suffering from a mental </w:t>
      </w:r>
      <w:r w:rsidR="00D43FB7" w:rsidRPr="00734025">
        <w:rPr>
          <w:rFonts w:ascii="Times New Roman" w:hAnsi="Times New Roman" w:cs="Times New Roman"/>
          <w:sz w:val="24"/>
        </w:rPr>
        <w:t>defect. Second</w:t>
      </w:r>
      <w:r w:rsidR="00CD3610" w:rsidRPr="00734025">
        <w:rPr>
          <w:rFonts w:ascii="Times New Roman" w:hAnsi="Times New Roman" w:cs="Times New Roman"/>
          <w:sz w:val="24"/>
        </w:rPr>
        <w:t xml:space="preserve">, the trier of fact must find that the defendant did not know </w:t>
      </w:r>
      <w:r w:rsidR="00D43FB7" w:rsidRPr="00734025">
        <w:rPr>
          <w:rFonts w:ascii="Times New Roman" w:hAnsi="Times New Roman" w:cs="Times New Roman"/>
          <w:sz w:val="24"/>
        </w:rPr>
        <w:t>either the nature or</w:t>
      </w:r>
      <w:r w:rsidR="00CD3610" w:rsidRPr="00734025">
        <w:rPr>
          <w:rFonts w:ascii="Times New Roman" w:hAnsi="Times New Roman" w:cs="Times New Roman"/>
          <w:sz w:val="24"/>
        </w:rPr>
        <w:t xml:space="preserve"> quality of the criminal act or that the act was wrong because of the mental defect.</w:t>
      </w:r>
    </w:p>
    <w:p w:rsidR="00034AAC" w:rsidRPr="00734025" w:rsidRDefault="001A6C02" w:rsidP="00734025">
      <w:pPr>
        <w:rPr>
          <w:rFonts w:ascii="Times New Roman" w:hAnsi="Times New Roman" w:cs="Times New Roman"/>
          <w:sz w:val="24"/>
        </w:rPr>
      </w:pPr>
      <w:r w:rsidRPr="00734025">
        <w:rPr>
          <w:rFonts w:ascii="Times New Roman" w:hAnsi="Times New Roman" w:cs="Times New Roman"/>
          <w:sz w:val="24"/>
        </w:rPr>
        <w:t>Irresistibl</w:t>
      </w:r>
      <w:r w:rsidRPr="00734025">
        <w:rPr>
          <w:rFonts w:ascii="Times New Roman" w:hAnsi="Times New Roman" w:cs="Times New Roman"/>
          <w:sz w:val="24"/>
        </w:rPr>
        <w:t>e impulse defense - the focus is on the defendant's awareness (cognitive) and the defendant's will (ability to control conduct)</w:t>
      </w:r>
    </w:p>
    <w:p w:rsidR="00BC79A2" w:rsidRPr="00734025" w:rsidRDefault="001A6C02" w:rsidP="00734025">
      <w:pPr>
        <w:rPr>
          <w:rFonts w:ascii="Times New Roman" w:hAnsi="Times New Roman" w:cs="Times New Roman"/>
          <w:sz w:val="24"/>
        </w:rPr>
      </w:pPr>
      <w:r w:rsidRPr="00734025">
        <w:rPr>
          <w:rFonts w:ascii="Times New Roman" w:hAnsi="Times New Roman" w:cs="Times New Roman"/>
          <w:sz w:val="24"/>
        </w:rPr>
        <w:t>Substantial capacity test - A person is not responsible for criminal conduct if, at the time of such conduct as a result of ment</w:t>
      </w:r>
      <w:r w:rsidRPr="00734025">
        <w:rPr>
          <w:rFonts w:ascii="Times New Roman" w:hAnsi="Times New Roman" w:cs="Times New Roman"/>
          <w:sz w:val="24"/>
        </w:rPr>
        <w:t>al disease or defect, he lacks substantial capacity either to appreciate the criminality [wrongfulness] of his conduct or to conform his conduct to the requirements of law</w:t>
      </w:r>
      <w:r w:rsidR="009345F3" w:rsidRPr="00734025">
        <w:rPr>
          <w:rFonts w:ascii="Times New Roman" w:hAnsi="Times New Roman" w:cs="Times New Roman"/>
          <w:sz w:val="24"/>
        </w:rPr>
        <w:t>.'</w:t>
      </w:r>
    </w:p>
    <w:p w:rsidR="00BC79A2" w:rsidRPr="00734025" w:rsidRDefault="001A6C02" w:rsidP="00734025">
      <w:pPr>
        <w:rPr>
          <w:rFonts w:ascii="Times New Roman" w:hAnsi="Times New Roman" w:cs="Times New Roman"/>
          <w:sz w:val="24"/>
        </w:rPr>
      </w:pPr>
      <w:r w:rsidRPr="00734025">
        <w:rPr>
          <w:rFonts w:ascii="Times New Roman" w:hAnsi="Times New Roman" w:cs="Times New Roman"/>
          <w:sz w:val="24"/>
        </w:rPr>
        <w:lastRenderedPageBreak/>
        <w:t>The insanity defense is brought up under 1% of legal offense cases and is fruitful</w:t>
      </w:r>
      <w:r w:rsidRPr="00734025">
        <w:rPr>
          <w:rFonts w:ascii="Times New Roman" w:hAnsi="Times New Roman" w:cs="Times New Roman"/>
          <w:sz w:val="24"/>
        </w:rPr>
        <w:t xml:space="preserve"> in just a tiny part of those. By far, most compelling cases result from a supplication understanding in which the arraignment and the guard consent to a not liable on account of a craziness (NGRI) request. Simultaneously, a respondent who gets a GBMI deci</w:t>
      </w:r>
      <w:r w:rsidRPr="00734025">
        <w:rPr>
          <w:rFonts w:ascii="Times New Roman" w:hAnsi="Times New Roman" w:cs="Times New Roman"/>
          <w:sz w:val="24"/>
        </w:rPr>
        <w:t>sion is condemned similarly as though one was seen as liable.</w:t>
      </w:r>
      <w:r w:rsidR="00CD3610" w:rsidRPr="00734025">
        <w:rPr>
          <w:rFonts w:ascii="Times New Roman" w:hAnsi="Times New Roman" w:cs="Times New Roman"/>
          <w:sz w:val="24"/>
        </w:rPr>
        <w:t xml:space="preserve"> The medical witness states the existence, character, and extent of the mental disease. The judge is to decide whether the disease made outcomes within the legal conditions which justify an acquittal on the ground of insanity. Therefore, mere abnormality of mind or partial delusion, irresistible impulse, or compulsive </w:t>
      </w:r>
      <w:r w:rsidR="00D43FB7" w:rsidRPr="00734025">
        <w:rPr>
          <w:rFonts w:ascii="Times New Roman" w:hAnsi="Times New Roman" w:cs="Times New Roman"/>
          <w:sz w:val="24"/>
        </w:rPr>
        <w:t>behavior</w:t>
      </w:r>
      <w:r w:rsidR="00CD3610" w:rsidRPr="00734025">
        <w:rPr>
          <w:rFonts w:ascii="Times New Roman" w:hAnsi="Times New Roman" w:cs="Times New Roman"/>
          <w:sz w:val="24"/>
        </w:rPr>
        <w:t xml:space="preserve"> of a psychopath does not protect.</w:t>
      </w:r>
      <w:r w:rsidRPr="00734025">
        <w:rPr>
          <w:rFonts w:ascii="Times New Roman" w:hAnsi="Times New Roman" w:cs="Times New Roman"/>
          <w:sz w:val="24"/>
        </w:rPr>
        <w:t xml:space="preserve"> The court at that point decides if and how much he requires treatment for psychological </w:t>
      </w:r>
      <w:r w:rsidRPr="00734025">
        <w:rPr>
          <w:rFonts w:ascii="Times New Roman" w:hAnsi="Times New Roman" w:cs="Times New Roman"/>
          <w:sz w:val="24"/>
        </w:rPr>
        <w:t>maladjustment. When, and if, the litigant is considered "restored" of his dysfunctional behavior, he is needed to serve out the remainder of his sentence, not at all like a madness safeguard absolved who might be delivered from mental responsibility whenev</w:t>
      </w:r>
      <w:r w:rsidRPr="00734025">
        <w:rPr>
          <w:rFonts w:ascii="Times New Roman" w:hAnsi="Times New Roman" w:cs="Times New Roman"/>
          <w:sz w:val="24"/>
        </w:rPr>
        <w:t xml:space="preserve">er he is considered to be not, at this point risky </w:t>
      </w:r>
      <w:hyperlink r:id="rId7" w:history="1">
        <w:r w:rsidRPr="00734025">
          <w:rPr>
            <w:rStyle w:val="Hyperlink"/>
            <w:rFonts w:ascii="Times New Roman" w:hAnsi="Times New Roman" w:cs="Times New Roman"/>
            <w:sz w:val="24"/>
          </w:rPr>
          <w:t>(Umphres, 2017).</w:t>
        </w:r>
      </w:hyperlink>
    </w:p>
    <w:p w:rsidR="00BC79A2" w:rsidRPr="00BC79A2" w:rsidRDefault="00BC79A2" w:rsidP="00BC79A2"/>
    <w:p w:rsidR="00BC79A2" w:rsidRPr="00BC79A2" w:rsidRDefault="00BC79A2" w:rsidP="00BC79A2"/>
    <w:p w:rsidR="00BC79A2" w:rsidRPr="00BC79A2" w:rsidRDefault="00BC79A2" w:rsidP="00BC79A2"/>
    <w:p w:rsidR="00BC79A2" w:rsidRPr="00BC79A2" w:rsidRDefault="00BC79A2" w:rsidP="00BC79A2"/>
    <w:p w:rsidR="00BC79A2" w:rsidRDefault="00BC79A2" w:rsidP="00BC79A2">
      <w:pPr>
        <w:tabs>
          <w:tab w:val="left" w:pos="3382"/>
        </w:tabs>
      </w:pPr>
    </w:p>
    <w:p w:rsidR="00734025" w:rsidRDefault="00734025" w:rsidP="00BC79A2">
      <w:pPr>
        <w:tabs>
          <w:tab w:val="left" w:pos="3382"/>
        </w:tabs>
      </w:pPr>
    </w:p>
    <w:p w:rsidR="00734025" w:rsidRDefault="00734025" w:rsidP="00BC79A2">
      <w:pPr>
        <w:tabs>
          <w:tab w:val="left" w:pos="3382"/>
        </w:tabs>
      </w:pPr>
    </w:p>
    <w:p w:rsidR="009345F3" w:rsidRDefault="009345F3" w:rsidP="00BC79A2">
      <w:pPr>
        <w:tabs>
          <w:tab w:val="left" w:pos="3382"/>
        </w:tabs>
      </w:pPr>
    </w:p>
    <w:p w:rsidR="00BC79A2" w:rsidRDefault="001A6C02" w:rsidP="00BC79A2">
      <w:pPr>
        <w:tabs>
          <w:tab w:val="left" w:pos="3382"/>
        </w:tabs>
        <w:jc w:val="center"/>
      </w:pPr>
      <w:r>
        <w:lastRenderedPageBreak/>
        <w:t>Reference</w:t>
      </w:r>
    </w:p>
    <w:p w:rsidR="00734025" w:rsidRPr="00734025" w:rsidRDefault="001A6C02" w:rsidP="00734025">
      <w:pPr>
        <w:ind w:left="720" w:hanging="720"/>
        <w:rPr>
          <w:rFonts w:ascii="Times New Roman" w:hAnsi="Times New Roman" w:cs="Times New Roman"/>
          <w:sz w:val="24"/>
        </w:rPr>
      </w:pPr>
      <w:r w:rsidRPr="00734025">
        <w:rPr>
          <w:rFonts w:ascii="Times New Roman" w:hAnsi="Times New Roman" w:cs="Times New Roman"/>
          <w:sz w:val="24"/>
        </w:rPr>
        <w:t xml:space="preserve">Meynen, G. (2016). Legal Insanity: Explorations in psychiatry, law, and ethics. </w:t>
      </w:r>
      <w:r w:rsidRPr="00734025">
        <w:rPr>
          <w:rFonts w:ascii="Times New Roman" w:hAnsi="Times New Roman" w:cs="Times New Roman"/>
          <w:sz w:val="24"/>
        </w:rPr>
        <w:t>Switzerland: Springer International Publishing.</w:t>
      </w:r>
    </w:p>
    <w:p w:rsidR="00734025" w:rsidRPr="00734025" w:rsidRDefault="001A6C02" w:rsidP="00734025">
      <w:pPr>
        <w:ind w:left="720" w:hanging="720"/>
        <w:rPr>
          <w:rFonts w:ascii="Times New Roman" w:hAnsi="Times New Roman" w:cs="Times New Roman"/>
          <w:sz w:val="24"/>
        </w:rPr>
      </w:pPr>
      <w:r w:rsidRPr="00734025">
        <w:rPr>
          <w:rFonts w:ascii="Times New Roman" w:hAnsi="Times New Roman" w:cs="Times New Roman"/>
          <w:sz w:val="24"/>
        </w:rPr>
        <w:t>Umphres, E. (2017). Solitary Confinement: An Unethical Denial of Meaningful Due Process. Geo. J. Legal Ethics, 30, 1057.</w:t>
      </w:r>
    </w:p>
    <w:p w:rsidR="009345F3" w:rsidRPr="009345F3" w:rsidRDefault="009345F3" w:rsidP="009345F3">
      <w:pPr>
        <w:ind w:left="720" w:hanging="720"/>
        <w:rPr>
          <w:rFonts w:ascii="Times New Roman" w:hAnsi="Times New Roman" w:cs="Times New Roman"/>
          <w:sz w:val="24"/>
          <w:szCs w:val="24"/>
        </w:rPr>
      </w:pPr>
    </w:p>
    <w:sectPr w:rsidR="009345F3" w:rsidRPr="009345F3">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C02" w:rsidRDefault="001A6C02">
      <w:pPr>
        <w:spacing w:after="0" w:line="240" w:lineRule="auto"/>
      </w:pPr>
      <w:r>
        <w:separator/>
      </w:r>
    </w:p>
  </w:endnote>
  <w:endnote w:type="continuationSeparator" w:id="0">
    <w:p w:rsidR="001A6C02" w:rsidRDefault="001A6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C02" w:rsidRDefault="001A6C02">
      <w:pPr>
        <w:spacing w:after="0" w:line="240" w:lineRule="auto"/>
      </w:pPr>
      <w:r>
        <w:separator/>
      </w:r>
    </w:p>
  </w:footnote>
  <w:footnote w:type="continuationSeparator" w:id="0">
    <w:p w:rsidR="001A6C02" w:rsidRDefault="001A6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094099"/>
      <w:docPartObj>
        <w:docPartGallery w:val="Page Numbers (Top of Page)"/>
        <w:docPartUnique/>
      </w:docPartObj>
    </w:sdtPr>
    <w:sdtEndPr>
      <w:rPr>
        <w:noProof/>
      </w:rPr>
    </w:sdtEndPr>
    <w:sdtContent>
      <w:p w:rsidR="00034AAC" w:rsidRDefault="001A6C02">
        <w:pPr>
          <w:pStyle w:val="Header"/>
          <w:jc w:val="right"/>
        </w:pPr>
        <w:r>
          <w:fldChar w:fldCharType="begin"/>
        </w:r>
        <w:r>
          <w:instrText xml:space="preserve"> PAGE   \* MERGEFORMAT </w:instrText>
        </w:r>
        <w:r>
          <w:fldChar w:fldCharType="separate"/>
        </w:r>
        <w:r w:rsidR="00414A25">
          <w:rPr>
            <w:noProof/>
          </w:rPr>
          <w:t>4</w:t>
        </w:r>
        <w:r>
          <w:rPr>
            <w:noProof/>
          </w:rPr>
          <w:fldChar w:fldCharType="end"/>
        </w:r>
      </w:p>
    </w:sdtContent>
  </w:sdt>
  <w:p w:rsidR="00034AAC" w:rsidRDefault="00034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6125A"/>
    <w:multiLevelType w:val="hybridMultilevel"/>
    <w:tmpl w:val="F3A00C6A"/>
    <w:lvl w:ilvl="0" w:tplc="BB4CC224">
      <w:start w:val="1"/>
      <w:numFmt w:val="decimal"/>
      <w:lvlText w:val="%1."/>
      <w:lvlJc w:val="left"/>
      <w:pPr>
        <w:ind w:left="1440" w:hanging="360"/>
      </w:pPr>
    </w:lvl>
    <w:lvl w:ilvl="1" w:tplc="94F63CDE" w:tentative="1">
      <w:start w:val="1"/>
      <w:numFmt w:val="lowerLetter"/>
      <w:lvlText w:val="%2."/>
      <w:lvlJc w:val="left"/>
      <w:pPr>
        <w:ind w:left="2160" w:hanging="360"/>
      </w:pPr>
    </w:lvl>
    <w:lvl w:ilvl="2" w:tplc="69741E34" w:tentative="1">
      <w:start w:val="1"/>
      <w:numFmt w:val="lowerRoman"/>
      <w:lvlText w:val="%3."/>
      <w:lvlJc w:val="right"/>
      <w:pPr>
        <w:ind w:left="2880" w:hanging="180"/>
      </w:pPr>
    </w:lvl>
    <w:lvl w:ilvl="3" w:tplc="252A2CC4" w:tentative="1">
      <w:start w:val="1"/>
      <w:numFmt w:val="decimal"/>
      <w:lvlText w:val="%4."/>
      <w:lvlJc w:val="left"/>
      <w:pPr>
        <w:ind w:left="3600" w:hanging="360"/>
      </w:pPr>
    </w:lvl>
    <w:lvl w:ilvl="4" w:tplc="D0D63918" w:tentative="1">
      <w:start w:val="1"/>
      <w:numFmt w:val="lowerLetter"/>
      <w:lvlText w:val="%5."/>
      <w:lvlJc w:val="left"/>
      <w:pPr>
        <w:ind w:left="4320" w:hanging="360"/>
      </w:pPr>
    </w:lvl>
    <w:lvl w:ilvl="5" w:tplc="A1107064" w:tentative="1">
      <w:start w:val="1"/>
      <w:numFmt w:val="lowerRoman"/>
      <w:lvlText w:val="%6."/>
      <w:lvlJc w:val="right"/>
      <w:pPr>
        <w:ind w:left="5040" w:hanging="180"/>
      </w:pPr>
    </w:lvl>
    <w:lvl w:ilvl="6" w:tplc="1B8C250C" w:tentative="1">
      <w:start w:val="1"/>
      <w:numFmt w:val="decimal"/>
      <w:lvlText w:val="%7."/>
      <w:lvlJc w:val="left"/>
      <w:pPr>
        <w:ind w:left="5760" w:hanging="360"/>
      </w:pPr>
    </w:lvl>
    <w:lvl w:ilvl="7" w:tplc="88B28142" w:tentative="1">
      <w:start w:val="1"/>
      <w:numFmt w:val="lowerLetter"/>
      <w:lvlText w:val="%8."/>
      <w:lvlJc w:val="left"/>
      <w:pPr>
        <w:ind w:left="6480" w:hanging="360"/>
      </w:pPr>
    </w:lvl>
    <w:lvl w:ilvl="8" w:tplc="4DE6CA82" w:tentative="1">
      <w:start w:val="1"/>
      <w:numFmt w:val="lowerRoman"/>
      <w:lvlText w:val="%9."/>
      <w:lvlJc w:val="right"/>
      <w:pPr>
        <w:ind w:left="7200" w:hanging="180"/>
      </w:pPr>
    </w:lvl>
  </w:abstractNum>
  <w:abstractNum w:abstractNumId="1" w15:restartNumberingAfterBreak="0">
    <w:nsid w:val="4D5E460B"/>
    <w:multiLevelType w:val="hybridMultilevel"/>
    <w:tmpl w:val="9B3E08B2"/>
    <w:lvl w:ilvl="0" w:tplc="30CC69DE">
      <w:start w:val="1"/>
      <w:numFmt w:val="bullet"/>
      <w:lvlText w:val=""/>
      <w:lvlJc w:val="left"/>
      <w:pPr>
        <w:ind w:left="720" w:hanging="360"/>
      </w:pPr>
      <w:rPr>
        <w:rFonts w:ascii="Wingdings" w:hAnsi="Wingdings" w:hint="default"/>
      </w:rPr>
    </w:lvl>
    <w:lvl w:ilvl="1" w:tplc="F7528EA2" w:tentative="1">
      <w:start w:val="1"/>
      <w:numFmt w:val="bullet"/>
      <w:lvlText w:val="o"/>
      <w:lvlJc w:val="left"/>
      <w:pPr>
        <w:ind w:left="1440" w:hanging="360"/>
      </w:pPr>
      <w:rPr>
        <w:rFonts w:ascii="Courier New" w:hAnsi="Courier New" w:cs="Courier New" w:hint="default"/>
      </w:rPr>
    </w:lvl>
    <w:lvl w:ilvl="2" w:tplc="63504F84" w:tentative="1">
      <w:start w:val="1"/>
      <w:numFmt w:val="bullet"/>
      <w:lvlText w:val=""/>
      <w:lvlJc w:val="left"/>
      <w:pPr>
        <w:ind w:left="2160" w:hanging="360"/>
      </w:pPr>
      <w:rPr>
        <w:rFonts w:ascii="Wingdings" w:hAnsi="Wingdings" w:hint="default"/>
      </w:rPr>
    </w:lvl>
    <w:lvl w:ilvl="3" w:tplc="E5940D84" w:tentative="1">
      <w:start w:val="1"/>
      <w:numFmt w:val="bullet"/>
      <w:lvlText w:val=""/>
      <w:lvlJc w:val="left"/>
      <w:pPr>
        <w:ind w:left="2880" w:hanging="360"/>
      </w:pPr>
      <w:rPr>
        <w:rFonts w:ascii="Symbol" w:hAnsi="Symbol" w:hint="default"/>
      </w:rPr>
    </w:lvl>
    <w:lvl w:ilvl="4" w:tplc="CCB4BB1E" w:tentative="1">
      <w:start w:val="1"/>
      <w:numFmt w:val="bullet"/>
      <w:lvlText w:val="o"/>
      <w:lvlJc w:val="left"/>
      <w:pPr>
        <w:ind w:left="3600" w:hanging="360"/>
      </w:pPr>
      <w:rPr>
        <w:rFonts w:ascii="Courier New" w:hAnsi="Courier New" w:cs="Courier New" w:hint="default"/>
      </w:rPr>
    </w:lvl>
    <w:lvl w:ilvl="5" w:tplc="0D0030AC" w:tentative="1">
      <w:start w:val="1"/>
      <w:numFmt w:val="bullet"/>
      <w:lvlText w:val=""/>
      <w:lvlJc w:val="left"/>
      <w:pPr>
        <w:ind w:left="4320" w:hanging="360"/>
      </w:pPr>
      <w:rPr>
        <w:rFonts w:ascii="Wingdings" w:hAnsi="Wingdings" w:hint="default"/>
      </w:rPr>
    </w:lvl>
    <w:lvl w:ilvl="6" w:tplc="93C43BCE" w:tentative="1">
      <w:start w:val="1"/>
      <w:numFmt w:val="bullet"/>
      <w:lvlText w:val=""/>
      <w:lvlJc w:val="left"/>
      <w:pPr>
        <w:ind w:left="5040" w:hanging="360"/>
      </w:pPr>
      <w:rPr>
        <w:rFonts w:ascii="Symbol" w:hAnsi="Symbol" w:hint="default"/>
      </w:rPr>
    </w:lvl>
    <w:lvl w:ilvl="7" w:tplc="C2ACE4CA" w:tentative="1">
      <w:start w:val="1"/>
      <w:numFmt w:val="bullet"/>
      <w:lvlText w:val="o"/>
      <w:lvlJc w:val="left"/>
      <w:pPr>
        <w:ind w:left="5760" w:hanging="360"/>
      </w:pPr>
      <w:rPr>
        <w:rFonts w:ascii="Courier New" w:hAnsi="Courier New" w:cs="Courier New" w:hint="default"/>
      </w:rPr>
    </w:lvl>
    <w:lvl w:ilvl="8" w:tplc="CD6432E0"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AC"/>
    <w:rsid w:val="00034AAC"/>
    <w:rsid w:val="0008341C"/>
    <w:rsid w:val="001A6C02"/>
    <w:rsid w:val="00414A25"/>
    <w:rsid w:val="00523208"/>
    <w:rsid w:val="006A3D48"/>
    <w:rsid w:val="00701F8D"/>
    <w:rsid w:val="00734025"/>
    <w:rsid w:val="00792F67"/>
    <w:rsid w:val="008B7EDC"/>
    <w:rsid w:val="009345F3"/>
    <w:rsid w:val="00B62BB9"/>
    <w:rsid w:val="00BC79A2"/>
    <w:rsid w:val="00C11A19"/>
    <w:rsid w:val="00CD3610"/>
    <w:rsid w:val="00D43FB7"/>
    <w:rsid w:val="00D70A56"/>
    <w:rsid w:val="00E008FE"/>
    <w:rsid w:val="00E4059C"/>
    <w:rsid w:val="00E540C5"/>
    <w:rsid w:val="00EC6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2E22"/>
  <w15:chartTrackingRefBased/>
  <w15:docId w15:val="{CC6D6781-A7EA-4147-BCB1-850C6ABB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A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AAC"/>
  </w:style>
  <w:style w:type="paragraph" w:styleId="Footer">
    <w:name w:val="footer"/>
    <w:basedOn w:val="Normal"/>
    <w:link w:val="FooterChar"/>
    <w:uiPriority w:val="99"/>
    <w:unhideWhenUsed/>
    <w:rsid w:val="00034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AAC"/>
  </w:style>
  <w:style w:type="paragraph" w:styleId="ListParagraph">
    <w:name w:val="List Paragraph"/>
    <w:basedOn w:val="Normal"/>
    <w:uiPriority w:val="34"/>
    <w:qFormat/>
    <w:rsid w:val="00034AAC"/>
    <w:pPr>
      <w:ind w:left="720"/>
      <w:contextualSpacing/>
    </w:pPr>
  </w:style>
  <w:style w:type="character" w:styleId="Hyperlink">
    <w:name w:val="Hyperlink"/>
    <w:basedOn w:val="DefaultParagraphFont"/>
    <w:uiPriority w:val="99"/>
    <w:unhideWhenUsed/>
    <w:rsid w:val="006A3D48"/>
    <w:rPr>
      <w:color w:val="0563C1" w:themeColor="hyperlink"/>
      <w:u w:val="single"/>
    </w:rPr>
  </w:style>
  <w:style w:type="paragraph" w:styleId="NormalWeb">
    <w:name w:val="Normal (Web)"/>
    <w:basedOn w:val="Normal"/>
    <w:uiPriority w:val="99"/>
    <w:unhideWhenUsed/>
    <w:rsid w:val="00EC65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D36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bs.org/wgbh/pages/frontline/shows/crime/trial/faq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LIVERPOOL</dc:creator>
  <cp:lastModifiedBy>LIVERPOOL</cp:lastModifiedBy>
  <cp:revision>12</cp:revision>
  <dcterms:created xsi:type="dcterms:W3CDTF">2021-03-06T19:18:00Z</dcterms:created>
  <dcterms:modified xsi:type="dcterms:W3CDTF">2021-03-17T02:36:00Z</dcterms:modified>
</cp:coreProperties>
</file>